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MONACO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lat jeden z popularniejszych trendów aranżacyjnych stanowi minimalizm. Dodatki zaprojektowane zgodnie z nim, cechuje oszczędność detali oraz designu. W ten nurt wpisuje się kolekcja MONACO marki Nowodvorski Lighting, która dzięki prostej formie połączonej z klasycznymi materiałami, idealnie dopełnia przestrzenie urządzone w minimalistycznym stylu.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MONACO marki Nowodvorski Lighting to oświetlenie wyróżniające się prostą, a zarazem nowoczesną formą. W skład serii wchodzą cztery lampy: dwie sufitowe, biurkowa oraz kinkiet. Model sufitowy dostępny jest w dwóch wersjach: z jednym 30 cm kloszem bądź dwoma - 25 cm. Oświetlenie tego rodzaju znajdzie zastosowanie nad kuchennym lub jadalnianym stołem, barkiem, a także w salonie. Uzupełnienie kolekcji stanowią kinkiet z dwoma źródłami światła oraz lampa biurkowa z jednym źródłem światła – oba modele wyposażone są w 16 cm klosze. We wszystkich typach oświetlenia z linii MONACO marki Nowodvorski Lighting klasyczny, okrągły, szklany klosz połączony został z prostą, lakierowaną stalą w kolorze czarnym. Dzięki temu, w efekcie otrzymujemy oświetlenie, nie tylko modne i funkcjonalne, ale również idealnie wpisujące się w minimalistyczny styl.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Linia MONACO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Lamap Zwis I</w:t>
      </w:r>
      <w:r>
        <w:rPr>
          <w:rFonts w:ascii="calibri" w:hAnsi="calibri" w:eastAsia="calibri" w:cs="calibri"/>
          <w:sz w:val="24"/>
          <w:szCs w:val="24"/>
        </w:rPr>
        <w:t xml:space="preserve"> cena detaliczna: 279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Zwis II</w:t>
      </w:r>
      <w:r>
        <w:rPr>
          <w:rFonts w:ascii="calibri" w:hAnsi="calibri" w:eastAsia="calibri" w:cs="calibri"/>
          <w:sz w:val="24"/>
          <w:szCs w:val="24"/>
        </w:rPr>
        <w:t xml:space="preserve"> cena detaliczna: 429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Kinkiet </w:t>
      </w:r>
      <w:r>
        <w:rPr>
          <w:rFonts w:ascii="calibri" w:hAnsi="calibri" w:eastAsia="calibri" w:cs="calibri"/>
          <w:sz w:val="24"/>
          <w:szCs w:val="24"/>
        </w:rPr>
        <w:t xml:space="preserve">cena detaliczna: 329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Biurkowa</w:t>
      </w:r>
      <w:r>
        <w:rPr>
          <w:rFonts w:ascii="calibri" w:hAnsi="calibri" w:eastAsia="calibri" w:cs="calibri"/>
          <w:sz w:val="24"/>
          <w:szCs w:val="24"/>
        </w:rPr>
        <w:t xml:space="preserve"> cena detaliczna: 249zł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2024-04-24T14:14:33+02:00</dcterms:created>
  <dcterms:modified xsi:type="dcterms:W3CDTF">2024-04-24T14:14:33+02:00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